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3363" w14:textId="77777777" w:rsidR="00032AFC" w:rsidRDefault="00BD2D7A" w:rsidP="00032AFC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D2E5C21" wp14:editId="726DD8B4">
                <wp:simplePos x="0" y="0"/>
                <wp:positionH relativeFrom="page">
                  <wp:posOffset>0</wp:posOffset>
                </wp:positionH>
                <wp:positionV relativeFrom="paragraph">
                  <wp:posOffset>-230505</wp:posOffset>
                </wp:positionV>
                <wp:extent cx="7772400" cy="10058400"/>
                <wp:effectExtent l="0" t="0" r="0" b="0"/>
                <wp:wrapNone/>
                <wp:docPr id="132269230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8DF5A" id="Rectangle 1" o:spid="_x0000_s1026" alt="&quot;&quot;" style="position:absolute;margin-left:0;margin-top:-18.1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" filled="f" stroked="f" strokeweight="1pt">
                <w10:wrap anchorx="page"/>
                <w10:anchorlock/>
              </v:rect>
            </w:pict>
          </mc:Fallback>
        </mc:AlternateContent>
      </w:r>
    </w:p>
    <w:p w14:paraId="51D8D68D" w14:textId="29B15B66" w:rsidR="00D60215" w:rsidRPr="009F4A45" w:rsidRDefault="00D60215" w:rsidP="009F4A45">
      <w:pPr>
        <w:spacing w:line="240" w:lineRule="auto"/>
        <w:rPr>
          <w:b/>
          <w:bCs/>
          <w:lang w:val="en-CA"/>
        </w:rPr>
      </w:pPr>
      <w:r w:rsidRPr="009F4A45">
        <w:rPr>
          <w:b/>
          <w:bCs/>
          <w:lang w:val="en-CA"/>
        </w:rPr>
        <w:t>National Client Protection Organization</w:t>
      </w:r>
    </w:p>
    <w:p w14:paraId="2DD44E55" w14:textId="0C3F2768" w:rsidR="00032AFC" w:rsidRPr="009F4A45" w:rsidRDefault="00D60215" w:rsidP="009F4A45">
      <w:pPr>
        <w:spacing w:line="240" w:lineRule="auto"/>
        <w:rPr>
          <w:b/>
          <w:bCs/>
          <w:lang w:val="en-CA"/>
        </w:rPr>
      </w:pPr>
      <w:r w:rsidRPr="009F4A45">
        <w:rPr>
          <w:b/>
          <w:bCs/>
          <w:lang w:val="en-CA"/>
        </w:rPr>
        <w:t>Fall Workshop September 2024</w:t>
      </w:r>
    </w:p>
    <w:p w14:paraId="24B753CD" w14:textId="77777777" w:rsidR="009F4A45" w:rsidRPr="009F4A45" w:rsidRDefault="009F4A45" w:rsidP="009F4A45">
      <w:pPr>
        <w:pStyle w:val="Title"/>
        <w:spacing w:line="240" w:lineRule="auto"/>
        <w:jc w:val="left"/>
        <w:rPr>
          <w:sz w:val="20"/>
          <w:szCs w:val="20"/>
        </w:rPr>
      </w:pPr>
      <w:r w:rsidRPr="009F4A45">
        <w:rPr>
          <w:sz w:val="20"/>
          <w:szCs w:val="20"/>
        </w:rPr>
        <w:t>Kathryn peifer morgan, esquire</w:t>
      </w:r>
    </w:p>
    <w:p w14:paraId="2816A9F4" w14:textId="77777777" w:rsidR="009F4A45" w:rsidRDefault="009F4A45" w:rsidP="009F4A45">
      <w:pPr>
        <w:pStyle w:val="Title"/>
        <w:spacing w:line="240" w:lineRule="auto"/>
        <w:jc w:val="left"/>
        <w:rPr>
          <w:sz w:val="20"/>
          <w:szCs w:val="20"/>
        </w:rPr>
      </w:pPr>
      <w:r w:rsidRPr="009F4A45">
        <w:rPr>
          <w:sz w:val="20"/>
          <w:szCs w:val="20"/>
        </w:rPr>
        <w:t>executive director and counsel</w:t>
      </w:r>
    </w:p>
    <w:p w14:paraId="2EEBBCD0" w14:textId="12AA8D35" w:rsidR="009F4A45" w:rsidRPr="009F4A45" w:rsidRDefault="009F4A45" w:rsidP="009F4A45">
      <w:pPr>
        <w:pStyle w:val="Title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Pennsylvania lawyers fund for client security</w:t>
      </w:r>
    </w:p>
    <w:p w14:paraId="44CDE5E6" w14:textId="77777777" w:rsidR="00BD2D7A" w:rsidRPr="00CF7382" w:rsidRDefault="00BD2D7A" w:rsidP="0044621B">
      <w:pPr>
        <w:spacing w:after="0"/>
      </w:pPr>
    </w:p>
    <w:tbl>
      <w:tblPr>
        <w:tblW w:w="5000" w:type="pct"/>
        <w:tblBorders>
          <w:top w:val="single" w:sz="24" w:space="0" w:color="D7432C" w:themeColor="accent1"/>
          <w:bottom w:val="single" w:sz="24" w:space="0" w:color="D7432C" w:themeColor="accent1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BD2D7A" w14:paraId="65879D4A" w14:textId="77777777" w:rsidTr="0044621B">
        <w:tc>
          <w:tcPr>
            <w:tcW w:w="5000" w:type="pct"/>
          </w:tcPr>
          <w:p w14:paraId="29F98C49" w14:textId="3FDE5B64" w:rsidR="009F4A45" w:rsidRPr="009F4A45" w:rsidRDefault="00D60215" w:rsidP="009F4A45">
            <w:pPr>
              <w:pStyle w:val="Title"/>
            </w:pPr>
            <w:r>
              <w:t>civil judgments</w:t>
            </w:r>
            <w:r w:rsidR="00715446">
              <w:t xml:space="preserve"> and other recovery options</w:t>
            </w:r>
          </w:p>
        </w:tc>
      </w:tr>
    </w:tbl>
    <w:p w14:paraId="1EAA18BF" w14:textId="7FDDA402" w:rsidR="00B979D8" w:rsidRPr="00634E84" w:rsidRDefault="00715446" w:rsidP="00634E84">
      <w:pPr>
        <w:pStyle w:val="Heading1"/>
      </w:pPr>
      <w:r>
        <w:t>civil judgments</w:t>
      </w:r>
    </w:p>
    <w:p w14:paraId="7E840A56" w14:textId="0AED5976" w:rsidR="00306480" w:rsidRDefault="00715446" w:rsidP="00BD2D7A">
      <w:pPr>
        <w:rPr>
          <w:b/>
        </w:rPr>
      </w:pPr>
      <w:r>
        <w:t>Recommend obtaining a civil judgment whenever possible. May not be able to</w:t>
      </w:r>
      <w:r w:rsidR="006C394C">
        <w:t xml:space="preserve"> immediately</w:t>
      </w:r>
      <w:r>
        <w:t xml:space="preserve"> collect, but circumstances could change for the former attorney</w:t>
      </w:r>
      <w:r w:rsidR="00FC037E">
        <w:t xml:space="preserve">. </w:t>
      </w:r>
      <w:r w:rsidR="00306480" w:rsidRPr="00306480">
        <w:t xml:space="preserve"> </w:t>
      </w:r>
    </w:p>
    <w:p w14:paraId="111F75E5" w14:textId="2E71233A" w:rsidR="002D1163" w:rsidRPr="002D1163" w:rsidRDefault="00FC037E" w:rsidP="002D1163">
      <w:pPr>
        <w:pStyle w:val="Heading2"/>
      </w:pPr>
      <w:r>
        <w:t>Procedures</w:t>
      </w:r>
    </w:p>
    <w:p w14:paraId="3F07DADE" w14:textId="155FF2D6" w:rsidR="002D1163" w:rsidRDefault="002D1163" w:rsidP="00851BEE">
      <w:pPr>
        <w:pStyle w:val="ListNumber"/>
      </w:pPr>
      <w:r>
        <w:t>Be sure to have claimants execute a subrogation agreement and assignment of claims to the Fund.</w:t>
      </w:r>
    </w:p>
    <w:p w14:paraId="1A320629" w14:textId="77777777" w:rsidR="007E3F06" w:rsidRDefault="006C394C" w:rsidP="00851BEE">
      <w:pPr>
        <w:pStyle w:val="ListNumber"/>
      </w:pPr>
      <w:r>
        <w:t xml:space="preserve">Set policy for when a civil judgment will be pursued. Considerations: </w:t>
      </w:r>
    </w:p>
    <w:p w14:paraId="192342FB" w14:textId="77777777" w:rsidR="007E3F06" w:rsidRDefault="006C394C" w:rsidP="007E3F06">
      <w:pPr>
        <w:pStyle w:val="ListNumber2"/>
      </w:pPr>
      <w:r>
        <w:t xml:space="preserve">amount of award(s) </w:t>
      </w:r>
    </w:p>
    <w:p w14:paraId="72E43D4B" w14:textId="77777777" w:rsidR="007E3F06" w:rsidRDefault="006C394C" w:rsidP="007E3F06">
      <w:pPr>
        <w:pStyle w:val="ListNumber2"/>
      </w:pPr>
      <w:r>
        <w:t xml:space="preserve">number/amount of judgment(s) already of record against the former attorney </w:t>
      </w:r>
    </w:p>
    <w:p w14:paraId="2D170905" w14:textId="77777777" w:rsidR="007E3F06" w:rsidRDefault="006C394C" w:rsidP="007E3F06">
      <w:pPr>
        <w:pStyle w:val="ListNumber2"/>
      </w:pPr>
      <w:r>
        <w:t>are criminal charges being pursued against the former attorney</w:t>
      </w:r>
    </w:p>
    <w:p w14:paraId="0F7C583D" w14:textId="10B9050A" w:rsidR="00B979D8" w:rsidRDefault="0056465F" w:rsidP="007E3F06">
      <w:pPr>
        <w:pStyle w:val="ListNumber2"/>
      </w:pPr>
      <w:r>
        <w:t>will litigation be handled in-house by Fund staff or will outside counsel be retained (negotiate reduced hourly rate)</w:t>
      </w:r>
    </w:p>
    <w:p w14:paraId="7EDB8230" w14:textId="332F5844" w:rsidR="007E3F06" w:rsidRDefault="007E3F06" w:rsidP="007E3F06">
      <w:pPr>
        <w:pStyle w:val="ListNumber2"/>
      </w:pPr>
      <w:r>
        <w:t>sufficient evidence to prove claim and claimant who will be cooperative witness, if needed</w:t>
      </w:r>
    </w:p>
    <w:p w14:paraId="574A4D06" w14:textId="326D9355" w:rsidR="00984930" w:rsidRDefault="00984930" w:rsidP="00984930">
      <w:pPr>
        <w:pStyle w:val="ListNumber"/>
      </w:pPr>
      <w:r>
        <w:t>File a Writ of Summons/Complaint after making payment of the award as soon as possible to preserve any statute of limitation concerns. If you have multiple claimants, a Writ may be the best option to preserve the viability of the civil action until all claims have been decided and all awards have been paid.</w:t>
      </w:r>
      <w:r w:rsidR="00D058C9">
        <w:t xml:space="preserve"> (Sample </w:t>
      </w:r>
      <w:r w:rsidR="00E57812">
        <w:t xml:space="preserve">complaint </w:t>
      </w:r>
      <w:r w:rsidR="00866ECD">
        <w:t>pr</w:t>
      </w:r>
      <w:r w:rsidR="00D058C9">
        <w:t>ovided)</w:t>
      </w:r>
    </w:p>
    <w:p w14:paraId="6EC37880" w14:textId="57792052" w:rsidR="002D1163" w:rsidRDefault="0056465F" w:rsidP="00851BEE">
      <w:pPr>
        <w:pStyle w:val="ListNumber"/>
      </w:pPr>
      <w:r>
        <w:t xml:space="preserve">Know deadline for filing an Answer and proceed with a default judgment if no timely Answer is filed. </w:t>
      </w:r>
    </w:p>
    <w:p w14:paraId="4C809E6E" w14:textId="1527E746" w:rsidR="0004213E" w:rsidRDefault="007E3F06" w:rsidP="00634E84">
      <w:pPr>
        <w:pStyle w:val="ListNumber"/>
      </w:pPr>
      <w:r>
        <w:t>If timely Answer is filed, present option of entering into a Forbearance Agreement and Stipulated Judgment to save all parties time and legal fees</w:t>
      </w:r>
      <w:r w:rsidR="00D058C9">
        <w:t xml:space="preserve">  (Sample forms provided)</w:t>
      </w:r>
    </w:p>
    <w:p w14:paraId="0E3D4A43" w14:textId="6AFFF976" w:rsidR="009510E0" w:rsidRDefault="00AB58AA" w:rsidP="00634E84">
      <w:pPr>
        <w:pStyle w:val="ListNumber"/>
      </w:pPr>
      <w:r>
        <w:t>After obtaining judgment, whether through full litigation or default, file a Writ of Execution and take discovery in aid of execution to determine if assets are available to execute on the judgment</w:t>
      </w:r>
    </w:p>
    <w:p w14:paraId="7D4ACB75" w14:textId="614D0934" w:rsidR="0004213E" w:rsidRDefault="00C41CB0" w:rsidP="00634E84">
      <w:pPr>
        <w:pStyle w:val="ListNumber"/>
      </w:pPr>
      <w:r>
        <w:t xml:space="preserve">If claimant obtained a civil judgment prior to filing claim or receiving an award from the Fund, be sure to file an assignment of that judgment </w:t>
      </w:r>
    </w:p>
    <w:p w14:paraId="333041A0" w14:textId="1CAF1861" w:rsidR="00397A6A" w:rsidRDefault="00397A6A" w:rsidP="00634E84">
      <w:pPr>
        <w:pStyle w:val="ListNumber"/>
      </w:pPr>
      <w:r>
        <w:t>Be sure to timely revive the judgment</w:t>
      </w:r>
    </w:p>
    <w:p w14:paraId="4DCF2DDC" w14:textId="5B618CFF" w:rsidR="00A75BCA" w:rsidRDefault="00A75BCA" w:rsidP="00C504BD">
      <w:pPr>
        <w:pStyle w:val="ListNumber"/>
      </w:pPr>
      <w:r>
        <w:t>If former attorney dies, consider filing a claim with the Estate. Some states consider the obligation owed to a client protection fund as falling into the category of an obligation owed to the state or political subdivision. (PEF Code § 3392)</w:t>
      </w:r>
    </w:p>
    <w:p w14:paraId="0897CD0F" w14:textId="6EFDDC23" w:rsidR="00B979D8" w:rsidRPr="00634E84" w:rsidRDefault="00C504BD" w:rsidP="00634E84">
      <w:pPr>
        <w:pStyle w:val="Heading1"/>
      </w:pPr>
      <w:r>
        <w:lastRenderedPageBreak/>
        <w:t>Court Rule Requiring repayment to Fund as condition of reinstatement</w:t>
      </w:r>
    </w:p>
    <w:p w14:paraId="42A268DA" w14:textId="314BDBB7" w:rsidR="00A40744" w:rsidRDefault="00C504BD" w:rsidP="00BD2D7A">
      <w:r>
        <w:t>Have a court rule that requires repayment to the client protection fund as a condition of reinstatement. Such a rule reinforces the court’s and the profession’s commitment to preserving the integrity of the profession</w:t>
      </w:r>
      <w:r w:rsidR="00DE65F9">
        <w:t>, and</w:t>
      </w:r>
      <w:r>
        <w:t xml:space="preserve"> requires the former attorney to be accountable; </w:t>
      </w:r>
      <w:r w:rsidR="00866ECD">
        <w:t>prevents</w:t>
      </w:r>
      <w:r>
        <w:t xml:space="preserve"> the client protection fund from being used as an “interest-free” lender to the former attorney. </w:t>
      </w:r>
    </w:p>
    <w:p w14:paraId="10C8A6EB" w14:textId="35A7413A" w:rsidR="00CF7382" w:rsidRDefault="00DE65F9" w:rsidP="00DE65F9">
      <w:pPr>
        <w:pStyle w:val="ListNumber"/>
        <w:numPr>
          <w:ilvl w:val="0"/>
          <w:numId w:val="18"/>
        </w:numPr>
      </w:pPr>
      <w:r>
        <w:t>Wording of the rule can be very helpful if former attorney is attempting to have the obligation discharged in bankruptcy</w:t>
      </w:r>
    </w:p>
    <w:p w14:paraId="7CB8480E" w14:textId="3DAB8916" w:rsidR="00C77E5A" w:rsidRDefault="00DE65F9" w:rsidP="00DE65F9">
      <w:pPr>
        <w:pStyle w:val="ListNumber"/>
        <w:numPr>
          <w:ilvl w:val="0"/>
          <w:numId w:val="18"/>
        </w:numPr>
      </w:pPr>
      <w:r>
        <w:t>Provides disciplinary with an additional weapon to oppose reinstatement</w:t>
      </w:r>
    </w:p>
    <w:p w14:paraId="48423CEC" w14:textId="77FD562B" w:rsidR="00DE65F9" w:rsidRDefault="00DE65F9" w:rsidP="00DE65F9">
      <w:pPr>
        <w:pStyle w:val="ListNumber"/>
        <w:numPr>
          <w:ilvl w:val="0"/>
          <w:numId w:val="18"/>
        </w:numPr>
      </w:pPr>
      <w:r>
        <w:t>Sample rules are provided with materials</w:t>
      </w:r>
    </w:p>
    <w:p w14:paraId="44B13440" w14:textId="77777777" w:rsidR="00032AFC" w:rsidRPr="00A40744" w:rsidRDefault="00032AFC" w:rsidP="007C5435"/>
    <w:sectPr w:rsidR="00032AFC" w:rsidRPr="00A40744" w:rsidSect="0044621B">
      <w:pgSz w:w="12240" w:h="15840" w:code="1"/>
      <w:pgMar w:top="360" w:right="1440" w:bottom="288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10E2" w14:textId="77777777" w:rsidR="00D60215" w:rsidRDefault="00D60215">
      <w:pPr>
        <w:spacing w:after="0" w:line="240" w:lineRule="auto"/>
      </w:pPr>
      <w:r>
        <w:separator/>
      </w:r>
    </w:p>
    <w:p w14:paraId="73359D98" w14:textId="77777777" w:rsidR="00D60215" w:rsidRDefault="00D60215"/>
  </w:endnote>
  <w:endnote w:type="continuationSeparator" w:id="0">
    <w:p w14:paraId="6F85C092" w14:textId="77777777" w:rsidR="00D60215" w:rsidRDefault="00D60215">
      <w:pPr>
        <w:spacing w:after="0" w:line="240" w:lineRule="auto"/>
      </w:pPr>
      <w:r>
        <w:continuationSeparator/>
      </w:r>
    </w:p>
    <w:p w14:paraId="793995D9" w14:textId="77777777" w:rsidR="00D60215" w:rsidRDefault="00D60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38A8" w14:textId="77777777" w:rsidR="00D60215" w:rsidRDefault="00D60215">
      <w:pPr>
        <w:spacing w:after="0" w:line="240" w:lineRule="auto"/>
      </w:pPr>
      <w:r>
        <w:separator/>
      </w:r>
    </w:p>
    <w:p w14:paraId="4689501C" w14:textId="77777777" w:rsidR="00D60215" w:rsidRDefault="00D60215"/>
  </w:footnote>
  <w:footnote w:type="continuationSeparator" w:id="0">
    <w:p w14:paraId="69EC3080" w14:textId="77777777" w:rsidR="00D60215" w:rsidRDefault="00D60215">
      <w:pPr>
        <w:spacing w:after="0" w:line="240" w:lineRule="auto"/>
      </w:pPr>
      <w:r>
        <w:continuationSeparator/>
      </w:r>
    </w:p>
    <w:p w14:paraId="250D9603" w14:textId="77777777" w:rsidR="00D60215" w:rsidRDefault="00D602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1C73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34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6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6D1638CF"/>
    <w:multiLevelType w:val="multilevel"/>
    <w:tmpl w:val="F5928C4C"/>
    <w:lvl w:ilvl="0">
      <w:start w:val="1"/>
      <w:numFmt w:val="lowerRoman"/>
      <w:pStyle w:val="ListNumber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8950306">
    <w:abstractNumId w:val="12"/>
  </w:num>
  <w:num w:numId="2" w16cid:durableId="435443229">
    <w:abstractNumId w:val="0"/>
  </w:num>
  <w:num w:numId="3" w16cid:durableId="35011900">
    <w:abstractNumId w:val="1"/>
  </w:num>
  <w:num w:numId="4" w16cid:durableId="526135731">
    <w:abstractNumId w:val="2"/>
  </w:num>
  <w:num w:numId="5" w16cid:durableId="1257131474">
    <w:abstractNumId w:val="3"/>
  </w:num>
  <w:num w:numId="6" w16cid:durableId="455223544">
    <w:abstractNumId w:val="13"/>
  </w:num>
  <w:num w:numId="7" w16cid:durableId="1202667646">
    <w:abstractNumId w:val="4"/>
  </w:num>
  <w:num w:numId="8" w16cid:durableId="218516084">
    <w:abstractNumId w:val="5"/>
  </w:num>
  <w:num w:numId="9" w16cid:durableId="1980189603">
    <w:abstractNumId w:val="6"/>
  </w:num>
  <w:num w:numId="10" w16cid:durableId="1840852890">
    <w:abstractNumId w:val="7"/>
  </w:num>
  <w:num w:numId="11" w16cid:durableId="402292431">
    <w:abstractNumId w:val="9"/>
  </w:num>
  <w:num w:numId="12" w16cid:durableId="350300236">
    <w:abstractNumId w:val="14"/>
  </w:num>
  <w:num w:numId="13" w16cid:durableId="25299765">
    <w:abstractNumId w:val="10"/>
  </w:num>
  <w:num w:numId="14" w16cid:durableId="1538271904">
    <w:abstractNumId w:val="11"/>
  </w:num>
  <w:num w:numId="15" w16cid:durableId="40785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3511440">
    <w:abstractNumId w:val="8"/>
  </w:num>
  <w:num w:numId="17" w16cid:durableId="364985170">
    <w:abstractNumId w:val="8"/>
  </w:num>
  <w:num w:numId="18" w16cid:durableId="1394624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0485">
    <w:abstractNumId w:val="13"/>
  </w:num>
  <w:num w:numId="20" w16cid:durableId="1030299558">
    <w:abstractNumId w:val="3"/>
  </w:num>
  <w:num w:numId="21" w16cid:durableId="1214002914">
    <w:abstractNumId w:val="2"/>
  </w:num>
  <w:num w:numId="22" w16cid:durableId="7090651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15"/>
    <w:rsid w:val="00032AFC"/>
    <w:rsid w:val="0004213E"/>
    <w:rsid w:val="00051678"/>
    <w:rsid w:val="00080C63"/>
    <w:rsid w:val="000C47C7"/>
    <w:rsid w:val="000D1F66"/>
    <w:rsid w:val="000D2CB5"/>
    <w:rsid w:val="000D3390"/>
    <w:rsid w:val="000F2658"/>
    <w:rsid w:val="00173AD6"/>
    <w:rsid w:val="001800F8"/>
    <w:rsid w:val="001E3318"/>
    <w:rsid w:val="00294C3F"/>
    <w:rsid w:val="002A5EBB"/>
    <w:rsid w:val="002B1547"/>
    <w:rsid w:val="002C1552"/>
    <w:rsid w:val="002C71D5"/>
    <w:rsid w:val="002D1163"/>
    <w:rsid w:val="00303660"/>
    <w:rsid w:val="00306480"/>
    <w:rsid w:val="00315E05"/>
    <w:rsid w:val="0034617C"/>
    <w:rsid w:val="00356102"/>
    <w:rsid w:val="00361CBE"/>
    <w:rsid w:val="003920AE"/>
    <w:rsid w:val="00397A6A"/>
    <w:rsid w:val="003B0C99"/>
    <w:rsid w:val="003F2336"/>
    <w:rsid w:val="003F397A"/>
    <w:rsid w:val="003F3D12"/>
    <w:rsid w:val="004211E7"/>
    <w:rsid w:val="004343C1"/>
    <w:rsid w:val="0044621B"/>
    <w:rsid w:val="004C0D7C"/>
    <w:rsid w:val="004E5C68"/>
    <w:rsid w:val="004F386A"/>
    <w:rsid w:val="004F4F5C"/>
    <w:rsid w:val="00521179"/>
    <w:rsid w:val="00546C80"/>
    <w:rsid w:val="0055429E"/>
    <w:rsid w:val="0056465F"/>
    <w:rsid w:val="00567C7E"/>
    <w:rsid w:val="005C7BF4"/>
    <w:rsid w:val="00610360"/>
    <w:rsid w:val="00634E84"/>
    <w:rsid w:val="006443AD"/>
    <w:rsid w:val="00686FE5"/>
    <w:rsid w:val="0069101C"/>
    <w:rsid w:val="00696D06"/>
    <w:rsid w:val="006B6AF4"/>
    <w:rsid w:val="006C394C"/>
    <w:rsid w:val="007002A7"/>
    <w:rsid w:val="00715446"/>
    <w:rsid w:val="00721AE6"/>
    <w:rsid w:val="00740829"/>
    <w:rsid w:val="0074543F"/>
    <w:rsid w:val="007657FB"/>
    <w:rsid w:val="00793758"/>
    <w:rsid w:val="007A06AE"/>
    <w:rsid w:val="007C5435"/>
    <w:rsid w:val="007D0340"/>
    <w:rsid w:val="007D1FE9"/>
    <w:rsid w:val="007E3F06"/>
    <w:rsid w:val="00807F4F"/>
    <w:rsid w:val="00814746"/>
    <w:rsid w:val="00843290"/>
    <w:rsid w:val="00851BEE"/>
    <w:rsid w:val="00866ECD"/>
    <w:rsid w:val="0088608F"/>
    <w:rsid w:val="00890F29"/>
    <w:rsid w:val="008A628E"/>
    <w:rsid w:val="00917394"/>
    <w:rsid w:val="009333C7"/>
    <w:rsid w:val="009510E0"/>
    <w:rsid w:val="00984930"/>
    <w:rsid w:val="009866E2"/>
    <w:rsid w:val="009B4744"/>
    <w:rsid w:val="009F4A45"/>
    <w:rsid w:val="00A40744"/>
    <w:rsid w:val="00A75BCA"/>
    <w:rsid w:val="00A916A4"/>
    <w:rsid w:val="00AB1779"/>
    <w:rsid w:val="00AB58AA"/>
    <w:rsid w:val="00AE3359"/>
    <w:rsid w:val="00B244E1"/>
    <w:rsid w:val="00B51EB3"/>
    <w:rsid w:val="00B979D8"/>
    <w:rsid w:val="00BB1F80"/>
    <w:rsid w:val="00BB7054"/>
    <w:rsid w:val="00BB7FDF"/>
    <w:rsid w:val="00BC4C4C"/>
    <w:rsid w:val="00BD2D7A"/>
    <w:rsid w:val="00BE508C"/>
    <w:rsid w:val="00C11B7B"/>
    <w:rsid w:val="00C41CB0"/>
    <w:rsid w:val="00C504BD"/>
    <w:rsid w:val="00C77E5A"/>
    <w:rsid w:val="00CF7382"/>
    <w:rsid w:val="00CF7F3E"/>
    <w:rsid w:val="00D058C9"/>
    <w:rsid w:val="00D60215"/>
    <w:rsid w:val="00D94756"/>
    <w:rsid w:val="00DA52DA"/>
    <w:rsid w:val="00DB445C"/>
    <w:rsid w:val="00DE65F9"/>
    <w:rsid w:val="00E129F9"/>
    <w:rsid w:val="00E3059C"/>
    <w:rsid w:val="00E50D7D"/>
    <w:rsid w:val="00E57812"/>
    <w:rsid w:val="00E60CF9"/>
    <w:rsid w:val="00E711BE"/>
    <w:rsid w:val="00E8207D"/>
    <w:rsid w:val="00EA1368"/>
    <w:rsid w:val="00EE59B1"/>
    <w:rsid w:val="00F019FA"/>
    <w:rsid w:val="00F37DA2"/>
    <w:rsid w:val="00FB1001"/>
    <w:rsid w:val="00FC037E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B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D7432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uiPriority="10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iPriority="2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1B"/>
    <w:pPr>
      <w:ind w:left="0"/>
    </w:pPr>
    <w:rPr>
      <w:color w:val="404040" w:themeColor="text1" w:themeTint="BF"/>
      <w:sz w:val="20"/>
    </w:rPr>
  </w:style>
  <w:style w:type="paragraph" w:styleId="Heading1">
    <w:name w:val="heading 1"/>
    <w:basedOn w:val="Normal"/>
    <w:link w:val="Heading1Char"/>
    <w:uiPriority w:val="9"/>
    <w:qFormat/>
    <w:rsid w:val="00BD2D7A"/>
    <w:pPr>
      <w:spacing w:before="480" w:after="240"/>
      <w:outlineLvl w:val="0"/>
    </w:pPr>
    <w:rPr>
      <w:rFonts w:asciiTheme="majorHAnsi" w:hAnsiTheme="majorHAnsi" w:cs="Times New Roman (Body CS)"/>
      <w:b/>
      <w:caps/>
      <w:color w:val="000000" w:themeColor="text1"/>
      <w:spacing w:val="10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2D7A"/>
    <w:pPr>
      <w:keepNext/>
      <w:keepLines/>
      <w:spacing w:before="240"/>
      <w:outlineLvl w:val="1"/>
    </w:pPr>
    <w:rPr>
      <w:rFonts w:asciiTheme="majorHAnsi" w:eastAsiaTheme="majorEastAsia" w:hAnsiTheme="majorHAnsi" w:cs="Times New Roman (Headings CS)"/>
      <w:b/>
      <w:color w:val="000000" w:themeColor="text1"/>
      <w:szCs w:val="26"/>
    </w:rPr>
  </w:style>
  <w:style w:type="paragraph" w:styleId="Heading5">
    <w:name w:val="heading 5"/>
    <w:basedOn w:val="Normal"/>
    <w:link w:val="Heading5Char"/>
    <w:uiPriority w:val="9"/>
    <w:semiHidden/>
    <w:qFormat/>
    <w:rsid w:val="00740829"/>
    <w:pPr>
      <w:spacing w:before="40" w:after="0"/>
      <w:outlineLvl w:val="4"/>
    </w:pPr>
    <w:rPr>
      <w:rFonts w:asciiTheme="majorHAnsi" w:eastAsiaTheme="majorEastAsia" w:hAnsiTheme="majorHAnsi" w:cstheme="majorBidi"/>
      <w:i/>
      <w:color w:val="ABC8D2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qFormat/>
    <w:rsid w:val="00740829"/>
    <w:pPr>
      <w:spacing w:before="40" w:after="0"/>
      <w:outlineLvl w:val="5"/>
    </w:pPr>
    <w:rPr>
      <w:rFonts w:asciiTheme="majorHAnsi" w:eastAsiaTheme="majorEastAsia" w:hAnsiTheme="majorHAnsi" w:cstheme="majorBidi"/>
      <w:color w:val="ABC8D2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qFormat/>
    <w:rsid w:val="00740829"/>
    <w:pPr>
      <w:spacing w:before="40" w:after="0"/>
      <w:outlineLvl w:val="6"/>
    </w:pPr>
    <w:rPr>
      <w:rFonts w:asciiTheme="majorHAnsi" w:eastAsiaTheme="majorEastAsia" w:hAnsiTheme="majorHAnsi" w:cstheme="majorBidi"/>
      <w:iCs/>
      <w:color w:val="ABC8D2" w:themeColor="accent2"/>
    </w:rPr>
  </w:style>
  <w:style w:type="paragraph" w:styleId="Heading8">
    <w:name w:val="heading 8"/>
    <w:basedOn w:val="Normal"/>
    <w:link w:val="Heading8Char"/>
    <w:uiPriority w:val="9"/>
    <w:semiHidden/>
    <w:qFormat/>
    <w:rsid w:val="00740829"/>
    <w:pPr>
      <w:spacing w:before="40" w:after="0"/>
      <w:outlineLvl w:val="7"/>
    </w:pPr>
    <w:rPr>
      <w:rFonts w:asciiTheme="majorHAnsi" w:eastAsiaTheme="majorEastAsia" w:hAnsiTheme="majorHAnsi" w:cstheme="majorBidi"/>
      <w:i/>
      <w:color w:val="C0D5DD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qFormat/>
    <w:rsid w:val="00740829"/>
    <w:pPr>
      <w:spacing w:before="40" w:after="0"/>
      <w:outlineLvl w:val="8"/>
    </w:pPr>
    <w:rPr>
      <w:rFonts w:asciiTheme="majorHAnsi" w:eastAsiaTheme="majorEastAsia" w:hAnsiTheme="majorHAnsi" w:cstheme="majorBidi"/>
      <w:iCs/>
      <w:color w:val="C0D5DD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D7A"/>
    <w:rPr>
      <w:rFonts w:asciiTheme="majorHAnsi" w:hAnsiTheme="majorHAnsi" w:cs="Times New Roman (Body CS)"/>
      <w:b/>
      <w:caps/>
      <w:color w:val="000000" w:themeColor="text1"/>
      <w:spacing w:val="10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920AE"/>
    <w:rPr>
      <w:rFonts w:asciiTheme="majorHAnsi" w:eastAsiaTheme="majorEastAsia" w:hAnsiTheme="majorHAnsi" w:cs="Times New Roman (Headings CS)"/>
      <w:b/>
      <w:color w:val="000000" w:themeColor="text1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0AE"/>
    <w:rPr>
      <w:rFonts w:asciiTheme="majorHAnsi" w:eastAsiaTheme="majorEastAsia" w:hAnsiTheme="majorHAnsi" w:cstheme="majorBidi"/>
      <w:i/>
      <w:color w:val="ABC8D2" w:themeColor="accent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0AE"/>
    <w:rPr>
      <w:rFonts w:asciiTheme="majorHAnsi" w:eastAsiaTheme="majorEastAsia" w:hAnsiTheme="majorHAnsi" w:cstheme="majorBidi"/>
      <w:color w:val="ABC8D2" w:themeColor="accent2"/>
      <w:spacing w:val="1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0AE"/>
    <w:rPr>
      <w:rFonts w:asciiTheme="majorHAnsi" w:eastAsiaTheme="majorEastAsia" w:hAnsiTheme="majorHAnsi" w:cstheme="majorBidi"/>
      <w:iCs/>
      <w:color w:val="ABC8D2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0AE"/>
    <w:rPr>
      <w:rFonts w:asciiTheme="majorHAnsi" w:eastAsiaTheme="majorEastAsia" w:hAnsiTheme="majorHAnsi" w:cstheme="majorBidi"/>
      <w:i/>
      <w:color w:val="C0D5DD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0AE"/>
    <w:rPr>
      <w:rFonts w:asciiTheme="majorHAnsi" w:eastAsiaTheme="majorEastAsia" w:hAnsiTheme="majorHAnsi" w:cstheme="majorBidi"/>
      <w:iCs/>
      <w:color w:val="C0D5DD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0AE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0AE"/>
    <w:rPr>
      <w:color w:val="404040" w:themeColor="text1" w:themeTint="BF"/>
      <w:sz w:val="20"/>
    </w:rPr>
  </w:style>
  <w:style w:type="paragraph" w:styleId="Caption">
    <w:name w:val="caption"/>
    <w:basedOn w:val="Normal"/>
    <w:next w:val="Normal"/>
    <w:uiPriority w:val="35"/>
    <w:semiHidden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qFormat/>
    <w:rsid w:val="0044621B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000000" w:themeColor="text1"/>
      <w:spacing w:val="6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44621B"/>
    <w:rPr>
      <w:rFonts w:asciiTheme="majorHAnsi" w:eastAsiaTheme="majorEastAsia" w:hAnsiTheme="majorHAnsi" w:cstheme="majorBidi"/>
      <w:b/>
      <w:caps/>
      <w:color w:val="000000" w:themeColor="text1"/>
      <w:spacing w:val="6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character" w:styleId="IntenseEmphasis">
    <w:name w:val="Intense Emphasis"/>
    <w:basedOn w:val="DefaultParagraphFont"/>
    <w:uiPriority w:val="21"/>
    <w:semiHidden/>
    <w:qFormat/>
    <w:rPr>
      <w:b/>
      <w:iCs/>
      <w:color w:val="ABC8D2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spacing w:before="240"/>
    </w:pPr>
    <w:rPr>
      <w:b/>
      <w:i/>
      <w:iCs/>
      <w:color w:val="ABC8D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20AE"/>
    <w:rPr>
      <w:b/>
      <w:i/>
      <w:iCs/>
      <w:color w:val="ABC8D2" w:themeColor="accent2"/>
      <w:sz w:val="20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/>
      <w:smallCaps w:val="0"/>
      <w:color w:val="D7432C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20AE"/>
    <w:rPr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D7432C" w:themeColor="accent1"/>
    </w:rPr>
  </w:style>
  <w:style w:type="character" w:styleId="SubtleReference">
    <w:name w:val="Subtle Reference"/>
    <w:basedOn w:val="DefaultParagraphFont"/>
    <w:uiPriority w:val="31"/>
    <w:semiHidden/>
    <w:qFormat/>
    <w:rPr>
      <w:caps/>
      <w:smallCaps w:val="0"/>
      <w:color w:val="D7432C" w:themeColor="accent1"/>
    </w:rPr>
  </w:style>
  <w:style w:type="paragraph" w:styleId="TOCHeading">
    <w:name w:val="TOC Heading"/>
    <w:basedOn w:val="Heading1"/>
    <w:next w:val="Normal"/>
    <w:uiPriority w:val="39"/>
    <w:semiHidden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3920AE"/>
    <w:rPr>
      <w:rFonts w:eastAsiaTheme="minorEastAsia"/>
      <w:i/>
      <w:color w:val="404040" w:themeColor="text1" w:themeTint="BF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44546A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AE"/>
    <w:rPr>
      <w:rFonts w:ascii="Segoe UI" w:hAnsi="Segoe UI" w:cs="Segoe UI"/>
      <w:color w:val="404040" w:themeColor="text1" w:themeTint="BF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20AE"/>
    <w:rPr>
      <w:color w:val="404040" w:themeColor="text1" w:themeTint="BF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20AE"/>
    <w:rPr>
      <w:color w:val="404040" w:themeColor="text1" w:themeTint="BF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AE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AE"/>
    <w:rPr>
      <w:b/>
      <w:b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20AE"/>
    <w:rPr>
      <w:color w:val="404040" w:themeColor="text1" w:themeTint="BF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20AE"/>
    <w:rPr>
      <w:rFonts w:ascii="Segoe UI" w:hAnsi="Segoe UI" w:cs="Segoe UI"/>
      <w:color w:val="404040" w:themeColor="text1" w:themeTint="BF"/>
      <w:sz w:val="20"/>
      <w:szCs w:val="16"/>
    </w:rPr>
  </w:style>
  <w:style w:type="paragraph" w:styleId="EnvelopeReturn">
    <w:name w:val="envelope return"/>
    <w:basedOn w:val="Normal"/>
    <w:uiPriority w:val="99"/>
    <w:semiHidden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0AE"/>
    <w:rPr>
      <w:color w:val="404040" w:themeColor="text1" w:themeTint="BF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0AE"/>
    <w:rPr>
      <w:rFonts w:ascii="Consolas" w:hAnsi="Consolas"/>
      <w:color w:val="404040" w:themeColor="text1" w:themeTint="BF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20A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20AE"/>
    <w:rPr>
      <w:rFonts w:ascii="Consolas" w:hAnsi="Consolas"/>
      <w:color w:val="404040" w:themeColor="text1" w:themeTint="BF"/>
      <w:sz w:val="20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2301F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20AE"/>
    <w:rPr>
      <w:rFonts w:asciiTheme="majorHAnsi" w:eastAsiaTheme="majorEastAsia" w:hAnsiTheme="majorHAnsi" w:cstheme="majorBidi"/>
      <w:color w:val="A2301F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44621B"/>
    <w:pPr>
      <w:numPr>
        <w:numId w:val="19"/>
      </w:numPr>
      <w:spacing w:before="120"/>
      <w:ind w:right="288"/>
    </w:pPr>
  </w:style>
  <w:style w:type="paragraph" w:styleId="ListBullet">
    <w:name w:val="List Bullet"/>
    <w:basedOn w:val="Normal"/>
    <w:uiPriority w:val="10"/>
    <w:semiHidden/>
    <w:rsid w:val="003F2336"/>
    <w:pPr>
      <w:numPr>
        <w:numId w:val="11"/>
      </w:numPr>
      <w:ind w:left="1080"/>
      <w:contextualSpacing/>
    </w:pPr>
  </w:style>
  <w:style w:type="table" w:styleId="TableGrid">
    <w:name w:val="Table Grid"/>
    <w:basedOn w:val="TableNormal"/>
    <w:uiPriority w:val="39"/>
    <w:rsid w:val="00BD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semiHidden/>
    <w:rsid w:val="0044621B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rsid w:val="0044621B"/>
    <w:pPr>
      <w:numPr>
        <w:ilvl w:val="2"/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morgan\AppData\Roaming\Microsoft\Templates\Create%20an%20outline.dotx" TargetMode="External"/></Relationships>
</file>

<file path=word/theme/theme1.xml><?xml version="1.0" encoding="utf-8"?>
<a:theme xmlns:a="http://schemas.openxmlformats.org/drawingml/2006/main" name="Outline">
  <a:themeElements>
    <a:clrScheme name="Student Outlin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7432C"/>
      </a:accent1>
      <a:accent2>
        <a:srgbClr val="ABC8D2"/>
      </a:accent2>
      <a:accent3>
        <a:srgbClr val="4279E1"/>
      </a:accent3>
      <a:accent4>
        <a:srgbClr val="AE7153"/>
      </a:accent4>
      <a:accent5>
        <a:srgbClr val="CF9400"/>
      </a:accent5>
      <a:accent6>
        <a:srgbClr val="FAE6D9"/>
      </a:accent6>
      <a:hlink>
        <a:srgbClr val="0563C1"/>
      </a:hlink>
      <a:folHlink>
        <a:srgbClr val="954F72"/>
      </a:folHlink>
    </a:clrScheme>
    <a:fontScheme name="Custom 124">
      <a:majorFont>
        <a:latin typeface="Grandview"/>
        <a:ea typeface=""/>
        <a:cs typeface=""/>
      </a:majorFont>
      <a:minorFont>
        <a:latin typeface="Grandvi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6CD6A-2F6C-4F4A-948A-D50C82EB6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A9FA6-59CF-4F89-A282-6B768C2A69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314AB85-2FAC-47DD-97B4-2BDDF1F0D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</Template>
  <TotalTime>0</TotalTime>
  <Pages>2</Pages>
  <Words>441</Words>
  <Characters>2415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2024-07-24T13:20:00Z</dcterms:created>
  <dcterms:modified xsi:type="dcterms:W3CDTF">2024-07-24T16:13:00Z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